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0E" w:rsidRPr="00DE1863" w:rsidRDefault="003D620E" w:rsidP="003D62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842122"/>
      <w:r w:rsidRPr="00DE1863">
        <w:rPr>
          <w:rFonts w:ascii="Times New Roman" w:hAnsi="Times New Roman" w:cs="Times New Roman"/>
          <w:b/>
          <w:sz w:val="28"/>
          <w:szCs w:val="28"/>
        </w:rPr>
        <w:t xml:space="preserve">Wymagania na oceny </w:t>
      </w:r>
      <w:r w:rsidRPr="00DE18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historii - </w:t>
      </w:r>
      <w:r w:rsidRPr="00DE1863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3D620E" w:rsidRPr="0084727B" w:rsidRDefault="003D620E" w:rsidP="003D620E">
      <w:pPr>
        <w:spacing w:after="0"/>
        <w:jc w:val="center"/>
        <w:rPr>
          <w:rFonts w:cstheme="minorHAnsi"/>
          <w:sz w:val="28"/>
          <w:szCs w:val="28"/>
        </w:rPr>
      </w:pPr>
    </w:p>
    <w:p w:rsidR="003D620E" w:rsidRPr="00B12725" w:rsidRDefault="003D620E" w:rsidP="003D620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2725">
        <w:rPr>
          <w:rStyle w:val="ui-provider"/>
          <w:rFonts w:ascii="Times New Roman" w:hAnsi="Times New Roman" w:cs="Times New Roman"/>
          <w:i/>
          <w:sz w:val="24"/>
          <w:szCs w:val="24"/>
        </w:rPr>
        <w:t>Wymagania na oceny uwzględniają zapisy podstawy programowej z 2017</w:t>
      </w:r>
      <w:bookmarkStart w:id="1" w:name="_GoBack"/>
      <w:bookmarkEnd w:id="1"/>
      <w:r w:rsidRPr="00B12725">
        <w:rPr>
          <w:rStyle w:val="ui-provider"/>
          <w:rFonts w:ascii="Times New Roman" w:hAnsi="Times New Roman" w:cs="Times New Roman"/>
          <w:i/>
          <w:sz w:val="24"/>
          <w:szCs w:val="24"/>
        </w:rPr>
        <w:t xml:space="preserve"> r. oraz zmiany z 2024 r.,  wynikające z uszczuplonej podstawy programowej. </w:t>
      </w:r>
    </w:p>
    <w:bookmarkEnd w:id="0"/>
    <w:p w:rsidR="003D620E" w:rsidRPr="00B12725" w:rsidRDefault="003D620E" w:rsidP="003D620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D620E" w:rsidRDefault="003D620E" w:rsidP="003D62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nauczania dla II etapu edukacyjnego</w:t>
      </w:r>
    </w:p>
    <w:p w:rsidR="003D620E" w:rsidRPr="004E7885" w:rsidRDefault="003D620E" w:rsidP="003D62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885">
        <w:rPr>
          <w:rFonts w:ascii="Times New Roman" w:hAnsi="Times New Roman" w:cs="Times New Roman"/>
          <w:b/>
          <w:sz w:val="24"/>
          <w:szCs w:val="24"/>
          <w:u w:val="single"/>
        </w:rPr>
        <w:t>Przedmiot: Historia</w:t>
      </w:r>
    </w:p>
    <w:p w:rsidR="003D620E" w:rsidRDefault="003D620E" w:rsidP="003D62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Wydawnictwo: </w:t>
      </w:r>
      <w:r w:rsidRPr="004E7885">
        <w:rPr>
          <w:rFonts w:ascii="Times New Roman" w:hAnsi="Times New Roman" w:cs="Times New Roman"/>
          <w:b/>
          <w:sz w:val="24"/>
          <w:szCs w:val="24"/>
          <w:u w:val="single"/>
        </w:rPr>
        <w:t xml:space="preserve">Nowa Era, </w:t>
      </w:r>
      <w:r w:rsidRPr="008B7F4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E7885">
        <w:rPr>
          <w:rFonts w:ascii="Times New Roman" w:hAnsi="Times New Roman" w:cs="Times New Roman"/>
          <w:b/>
          <w:sz w:val="24"/>
          <w:szCs w:val="24"/>
          <w:u w:val="single"/>
        </w:rPr>
        <w:t>Seria: „Wczoraj i dziś”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wskazuje na mapie zmiany terytorialne w Europie po kongresie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ocenia zasady, na których podstawie stworzono ład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konsekwencje zastosowania maszyny parowej dla rozwoju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wyjaśnia 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podstawowe zasady ustrojowe w Królestwie Polskim,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społeczno-gospodarcza Polaków 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okres konstytucyjny Królestwa Polskiego – ustrój, osiągnięcia w gospodarce, kulturze i edukacji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położenie Polaków w zaborach pruskim i austriackim, na 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zniesienia pańszczyzny w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najważniejsze 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rozwój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konspiracja,kaliszanie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przykłady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konsekwencje dla dalszego przebieguwojny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którepodlegały kolonizacjipod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proces kolonizacji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okoliczności kształtowania się syjonizmu i jego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śmiertelności w XIX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–ocenia znaczenierozpowszechn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stronnictwa polityczne w Królestwie Polskim –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Wielopolski, Romuald Traugutt, Ludwik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 xml:space="preserve">tania w swoim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przykłady realizacji programu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lastRenderedPageBreak/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ogłoszeniatzw. noweli osadniczej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gospodarczy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opisuje przykłady 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Socjaldemokracji Królestwa Polskiego (1893), 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</w:t>
            </w:r>
            <w:r w:rsidR="00995C5F" w:rsidRPr="000C67C6">
              <w:rPr>
                <w:rFonts w:cs="Humanst521EU-Normal"/>
                <w:sz w:val="20"/>
                <w:szCs w:val="20"/>
              </w:rPr>
              <w:lastRenderedPageBreak/>
              <w:t>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postacie:Henryka Sienkiewicza, Bolesława Prusa, Władysława Reymonta, Elizy Orzeszkowej, Jana Matejki, Marii Konopnickiej,Stanisława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opisuje okolicznościpowstania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Tannenbergiem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specyfikę działań wojennych: wojna pozycyjna, manewrowa, działania powietrzne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Gawriło Principa;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ocenia skutki zastosowania nowych rodzajów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rewolucja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lastRenderedPageBreak/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lastRenderedPageBreak/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działania Kompanii Kadrowej i Legionów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 xml:space="preserve">ededniu i po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sformowania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 xml:space="preserve">kryzysu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lastRenderedPageBreak/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 xml:space="preserve">I II </w:t>
            </w:r>
            <w:r w:rsidRPr="00E12C7E">
              <w:rPr>
                <w:rFonts w:cs="Humanst521EU-Normal"/>
                <w:i/>
                <w:sz w:val="20"/>
                <w:szCs w:val="20"/>
              </w:rPr>
              <w:lastRenderedPageBreak/>
              <w:t>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wielki kryzys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charakteryzuje postanowienia konferencji w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represje i zbrodnie nazistów w pierwszych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(niemieckiego narodowego 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wymienia cechy charakterystyczne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 xml:space="preserve">przejęcia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lastRenderedPageBreak/>
              <w:t>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lastRenderedPageBreak/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terror komunistyczny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ogłoszenia NEP (1921), wielkiej czystki (1936–1938), kolektywizacji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wymienia nowe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lokalnych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przez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Radę Regencyjną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w pierwszym roku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konflikt polsko-ukraiński o Galicję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Orlęta Lwowskie, „cud nad Wisłą”, linia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>, 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, plebiscytu </w:t>
            </w:r>
            <w:r w:rsidR="00431203" w:rsidRPr="000C67C6">
              <w:rPr>
                <w:rFonts w:cs="Humanst521EU-Normal"/>
                <w:sz w:val="20"/>
                <w:szCs w:val="20"/>
              </w:rPr>
              <w:lastRenderedPageBreak/>
              <w:t>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LucjanaŻeligowskiego,Wincentego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 skutki powstania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polsko-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Piłsudskiego,Romana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lastRenderedPageBreak/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Polsce w latach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konstytucja kwietniowa, polityka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 xml:space="preserve">wyborów brzeskich </w:t>
            </w:r>
            <w:r w:rsidR="00C84DBB" w:rsidRPr="000C67C6">
              <w:rPr>
                <w:rFonts w:cstheme="minorHAnsi"/>
                <w:sz w:val="20"/>
                <w:szCs w:val="20"/>
              </w:rPr>
              <w:lastRenderedPageBreak/>
              <w:t>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 xml:space="preserve">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malarstwie i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osiągnięcia polskich naukowców w dziedzinie nauk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tworzących 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lastRenderedPageBreak/>
              <w:t>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Ribbentrop–Mołotow miały przypaść 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wobec Polski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 wpływ miały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733" w:rsidRDefault="009D2733" w:rsidP="00254330">
      <w:pPr>
        <w:spacing w:after="0" w:line="240" w:lineRule="auto"/>
      </w:pPr>
      <w:r>
        <w:separator/>
      </w:r>
    </w:p>
  </w:endnote>
  <w:endnote w:type="continuationSeparator" w:id="1">
    <w:p w:rsidR="009D2733" w:rsidRDefault="009D2733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933831"/>
      <w:docPartObj>
        <w:docPartGallery w:val="Page Numbers (Bottom of Page)"/>
        <w:docPartUnique/>
      </w:docPartObj>
    </w:sdtPr>
    <w:sdtContent>
      <w:p w:rsidR="003F5FEA" w:rsidRDefault="00191BE0">
        <w:pPr>
          <w:pStyle w:val="Stopka"/>
          <w:jc w:val="right"/>
        </w:pPr>
        <w:r>
          <w:rPr>
            <w:noProof/>
          </w:rPr>
          <w:fldChar w:fldCharType="begin"/>
        </w:r>
        <w:r w:rsidR="003F5FE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D62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733" w:rsidRDefault="009D2733" w:rsidP="00254330">
      <w:pPr>
        <w:spacing w:after="0" w:line="240" w:lineRule="auto"/>
      </w:pPr>
      <w:r>
        <w:separator/>
      </w:r>
    </w:p>
  </w:footnote>
  <w:footnote w:type="continuationSeparator" w:id="1">
    <w:p w:rsidR="009D2733" w:rsidRDefault="009D2733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91BE0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620E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2733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12BD-59E8-4453-9E4F-77EDE1E3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10158</Words>
  <Characters>60951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renra</cp:lastModifiedBy>
  <cp:revision>5</cp:revision>
  <dcterms:created xsi:type="dcterms:W3CDTF">2024-07-26T11:55:00Z</dcterms:created>
  <dcterms:modified xsi:type="dcterms:W3CDTF">2024-09-23T18:53:00Z</dcterms:modified>
</cp:coreProperties>
</file>