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BD1D" w14:textId="77777777"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EC34626" w14:textId="3B67D6CE" w:rsidR="00384E9E" w:rsidRPr="00C84B43" w:rsidRDefault="00384E9E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4E9E">
        <w:rPr>
          <w:rFonts w:ascii="Times New Roman" w:hAnsi="Times New Roman"/>
          <w:b/>
          <w:bCs/>
          <w:sz w:val="32"/>
          <w:szCs w:val="32"/>
        </w:rPr>
        <w:t>edycja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14:paraId="5C267E65" w14:textId="7DC0F6A6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64624FEC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>ne z planem wynikowym autorstwa Lidii Bancerz,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 xml:space="preserve">w nietypowy sposób swój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-usz,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wybranego fragmentu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sza (przekład intersemiotyczny)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magiczne tenisówki Percy’ego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 xml:space="preserve">eniach 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>Opracowała: Lidia Bancerz</w:t>
      </w: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2797" w14:textId="77777777" w:rsidR="00ED2E28" w:rsidRDefault="00ED2E28" w:rsidP="000B228B">
      <w:pPr>
        <w:spacing w:after="0" w:line="240" w:lineRule="auto"/>
      </w:pPr>
      <w:r>
        <w:separator/>
      </w:r>
    </w:p>
  </w:endnote>
  <w:endnote w:type="continuationSeparator" w:id="0">
    <w:p w14:paraId="7C30F0FF" w14:textId="77777777" w:rsidR="00ED2E28" w:rsidRDefault="00ED2E28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F840" w14:textId="77777777" w:rsidR="00ED2E28" w:rsidRDefault="00ED2E28" w:rsidP="000B228B">
      <w:pPr>
        <w:spacing w:after="0" w:line="240" w:lineRule="auto"/>
      </w:pPr>
      <w:r>
        <w:separator/>
      </w:r>
    </w:p>
  </w:footnote>
  <w:footnote w:type="continuationSeparator" w:id="0">
    <w:p w14:paraId="2F2D463D" w14:textId="77777777" w:rsidR="00ED2E28" w:rsidRDefault="00ED2E28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3D58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6E77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34D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2E28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12347</Words>
  <Characters>74085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Jolanta Sroczyńska</cp:lastModifiedBy>
  <cp:revision>2</cp:revision>
  <dcterms:created xsi:type="dcterms:W3CDTF">2024-08-30T18:42:00Z</dcterms:created>
  <dcterms:modified xsi:type="dcterms:W3CDTF">2024-08-30T18:42:00Z</dcterms:modified>
</cp:coreProperties>
</file>